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0577" w:rsidRDefault="001D0577" w:rsidP="00F252D2">
      <w:pPr>
        <w:pStyle w:val="NormalWeb"/>
        <w:spacing w:before="0" w:beforeAutospacing="0" w:after="0" w:afterAutospacing="0" w:line="480" w:lineRule="auto"/>
        <w:jc w:val="center"/>
        <w:rPr>
          <w:color w:val="0E101A"/>
        </w:rPr>
      </w:pPr>
      <w:r>
        <w:rPr>
          <w:rStyle w:val="Strong"/>
          <w:color w:val="0E101A"/>
        </w:rPr>
        <w:t>#2 Bridget Contraceptives</w:t>
      </w:r>
    </w:p>
    <w:p w:rsidR="001D0577" w:rsidRDefault="001D0577" w:rsidP="001D0577">
      <w:pPr>
        <w:pStyle w:val="NormalWeb"/>
        <w:spacing w:before="0" w:beforeAutospacing="0" w:after="0" w:afterAutospacing="0" w:line="480" w:lineRule="auto"/>
        <w:ind w:firstLine="720"/>
        <w:jc w:val="both"/>
        <w:rPr>
          <w:color w:val="0E101A"/>
        </w:rPr>
      </w:pPr>
      <w:r>
        <w:rPr>
          <w:color w:val="0E101A"/>
        </w:rPr>
        <w:t>Based on the information provided about Bridget, she is a teenager aged 16 years old, who has no allergies; therefore, she is healthy. Moreover, based on her vitals, that is she is at the 50th percentile for the body mass index (BMI) and her blood pressure is at 112/68 mm Hg, all are normal for her age, which is an indication that she is healthy. The only identified problem is the mild acne Bridget has on her face and chest; however, she asks for a prescription related to contraceptives.</w:t>
      </w:r>
    </w:p>
    <w:p w:rsidR="001D0577" w:rsidRDefault="001D0577" w:rsidP="001D0577">
      <w:pPr>
        <w:pStyle w:val="NormalWeb"/>
        <w:spacing w:before="0" w:beforeAutospacing="0" w:after="0" w:afterAutospacing="0" w:line="480" w:lineRule="auto"/>
        <w:jc w:val="center"/>
        <w:rPr>
          <w:color w:val="0E101A"/>
        </w:rPr>
      </w:pPr>
      <w:r>
        <w:rPr>
          <w:rStyle w:val="Strong"/>
          <w:color w:val="0E101A"/>
        </w:rPr>
        <w:t>Bridget’s Initial Treatment</w:t>
      </w:r>
    </w:p>
    <w:p w:rsidR="001D0577" w:rsidRDefault="001D0577" w:rsidP="001D0577">
      <w:pPr>
        <w:pStyle w:val="NormalWeb"/>
        <w:spacing w:before="0" w:beforeAutospacing="0" w:after="0" w:afterAutospacing="0" w:line="480" w:lineRule="auto"/>
        <w:ind w:firstLine="720"/>
        <w:jc w:val="both"/>
        <w:rPr>
          <w:color w:val="0E101A"/>
        </w:rPr>
      </w:pPr>
      <w:r>
        <w:rPr>
          <w:color w:val="0E101A"/>
        </w:rPr>
        <w:t>One of the significant conditions during adolescence is the development of acne, specifically in the face, chest, neck, or shoulders. Studies indicate that about 85% of all teenagers have the possibility of developing acne, which is characterized by painful pimples which often result from clogged pores on the skin (Woo &amp; Robinson, 2015). The main course of the development of acne among adolescents is usually based on the high quantities of the androgen hormone. As a result, this hormone influences the high production of oil from the subcutaneous layer. Once this oil produced clogs the skin pores, this leads to the development of these painful pimples. Therefore, the initial treatment for Bridget will be based on the present acne. Developing a treatment plan for acne is based on various factors, such as the severity, specifically whether the condition is mild irritation or persistent. According to Woo and Robinson (2017), some of the available treatments for mild inflammati</w:t>
      </w:r>
      <w:r w:rsidR="0070349B">
        <w:rPr>
          <w:color w:val="0E101A"/>
        </w:rPr>
        <w:t>on involve</w:t>
      </w:r>
      <w:r>
        <w:rPr>
          <w:color w:val="0E101A"/>
        </w:rPr>
        <w:t xml:space="preserve"> the use of a skin-based compound such as Benzoyl peroxide. In case of a persistent condition, treatment using antibiotics is recommended.</w:t>
      </w:r>
    </w:p>
    <w:p w:rsidR="001D0577" w:rsidRDefault="001D0577" w:rsidP="001D0577">
      <w:pPr>
        <w:pStyle w:val="NormalWeb"/>
        <w:spacing w:before="0" w:beforeAutospacing="0" w:after="0" w:afterAutospacing="0" w:line="480" w:lineRule="auto"/>
        <w:jc w:val="center"/>
        <w:rPr>
          <w:color w:val="0E101A"/>
        </w:rPr>
      </w:pPr>
      <w:r>
        <w:rPr>
          <w:rStyle w:val="Strong"/>
          <w:color w:val="0E101A"/>
        </w:rPr>
        <w:t>The considered legal age when adolescents can self-consent for contraception</w:t>
      </w:r>
    </w:p>
    <w:p w:rsidR="001D0577" w:rsidRDefault="001D0577" w:rsidP="001D0577">
      <w:pPr>
        <w:pStyle w:val="NormalWeb"/>
        <w:spacing w:before="0" w:beforeAutospacing="0" w:after="0" w:afterAutospacing="0" w:line="480" w:lineRule="auto"/>
        <w:ind w:firstLine="720"/>
        <w:jc w:val="both"/>
        <w:rPr>
          <w:color w:val="0E101A"/>
        </w:rPr>
      </w:pPr>
      <w:r>
        <w:rPr>
          <w:color w:val="0E101A"/>
        </w:rPr>
        <w:lastRenderedPageBreak/>
        <w:t>Studies show that women in the US engage in sexual behaviour before they attain the age of 18 years old (Kelly, Lindo &amp; Packham, 2019). This is a clear indication that most of the teenagers do engage in these acts and should be educated about the use of contraceptives. Thus, limiting access to contraception awareness could facilitate the occurrence of teenage pregnancies. However, various states around the US have varying thoughts regarding the issue. Consequently, multiple statutes have been developed to ensure the specific group of people get access to contraception. On the contrary, in the state of New York, no age limitations have been put on the acquisition of contraception. Therefore, regardless of one’s age, they get to access contraception information and advice in clinics established purposely for that, known as “Title X Clinics” (Kelly, Lindo &amp; Packham, 2019). Moreover, this is one of the strategies that have contributed to decreased cases of teenage pregnancies in the US.</w:t>
      </w:r>
    </w:p>
    <w:p w:rsidR="001D0577" w:rsidRDefault="001D0577" w:rsidP="001D0577">
      <w:pPr>
        <w:pStyle w:val="NormalWeb"/>
        <w:spacing w:before="0" w:beforeAutospacing="0" w:after="0" w:afterAutospacing="0" w:line="480" w:lineRule="auto"/>
        <w:jc w:val="center"/>
        <w:rPr>
          <w:color w:val="0E101A"/>
        </w:rPr>
      </w:pPr>
      <w:r>
        <w:rPr>
          <w:rStyle w:val="Strong"/>
          <w:color w:val="0E101A"/>
        </w:rPr>
        <w:t>What Education Bridget Needs</w:t>
      </w:r>
    </w:p>
    <w:p w:rsidR="009D1E0B" w:rsidRPr="00842303" w:rsidRDefault="001D0577" w:rsidP="001D0577">
      <w:pPr>
        <w:pStyle w:val="NormalWeb"/>
        <w:spacing w:before="0" w:beforeAutospacing="0" w:after="0" w:afterAutospacing="0" w:line="480" w:lineRule="auto"/>
        <w:ind w:firstLine="720"/>
        <w:jc w:val="both"/>
        <w:rPr>
          <w:rFonts w:eastAsia="Calibri"/>
          <w:shd w:val="clear" w:color="auto" w:fill="FFFFFF"/>
        </w:rPr>
      </w:pPr>
      <w:r>
        <w:rPr>
          <w:color w:val="0E101A"/>
        </w:rPr>
        <w:t>When considering contraceptive education, one of the basic concepts that Bridget needs to acquire is about the uniqueness of one’s body. Therefore, she needs to identify the specific contraception that best works for her body (Guzzo&amp; Hayford, 2018). Moreover, the nurse should also educate her on the importance of the acquisition of a specific birth control method that one is able to handle and use correctly. This is essential since many contraceptives fail to be effective since most people misuse them. In addition, she also needs to understand the differences between the use of hormonal and non-hormonal birth control strategies and the respective effects resulting from the use of each. Especially the effectiveness of each, for instance, the use of hormonal contraceptives is considered one of the most effective and influences the hormonal behaviour which would lead to delays when conceiving the future (Guzzo&amp; Hayford, 2018). Based on the provision of all this information, then Bridget will be given the options of viable birth control methods that she could implement, primarily based on her age.</w:t>
      </w:r>
    </w:p>
    <w:p w:rsidR="00E83A77" w:rsidRPr="00FD0EA7" w:rsidRDefault="00E83A77" w:rsidP="00E83A77">
      <w:pPr>
        <w:spacing w:after="0" w:line="480" w:lineRule="auto"/>
        <w:contextualSpacing/>
        <w:jc w:val="both"/>
        <w:rPr>
          <w:rFonts w:ascii="Times New Roman" w:eastAsia="Times New Roman" w:hAnsi="Times New Roman"/>
          <w:sz w:val="24"/>
          <w:szCs w:val="24"/>
        </w:rPr>
      </w:pPr>
      <w:r>
        <w:rPr>
          <w:rFonts w:ascii="Times New Roman" w:eastAsia="Times New Roman" w:hAnsi="Times New Roman"/>
          <w:sz w:val="24"/>
          <w:szCs w:val="24"/>
        </w:rPr>
        <w:br w:type="page"/>
      </w:r>
    </w:p>
    <w:p w:rsidR="00E83A77" w:rsidRPr="00D603E0" w:rsidRDefault="00E83A77" w:rsidP="00E83A77">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t>References</w:t>
      </w:r>
    </w:p>
    <w:p w:rsidR="006D5D9E" w:rsidRPr="006D5D9E" w:rsidRDefault="006D5D9E" w:rsidP="00716C85">
      <w:pPr>
        <w:spacing w:after="0" w:line="480" w:lineRule="auto"/>
        <w:ind w:left="720" w:hanging="720"/>
        <w:contextualSpacing/>
        <w:jc w:val="both"/>
        <w:rPr>
          <w:rFonts w:ascii="Times New Roman" w:hAnsi="Times New Roman"/>
          <w:sz w:val="24"/>
          <w:szCs w:val="24"/>
          <w:shd w:val="clear" w:color="auto" w:fill="FFFFFF"/>
        </w:rPr>
      </w:pPr>
      <w:r w:rsidRPr="006D5D9E">
        <w:rPr>
          <w:rFonts w:ascii="Times New Roman" w:hAnsi="Times New Roman"/>
          <w:sz w:val="24"/>
          <w:szCs w:val="24"/>
          <w:shd w:val="clear" w:color="auto" w:fill="FFFFFF"/>
        </w:rPr>
        <w:t>Guzzo, K. B., &amp; Hayford, S. R. (2018). Adolescent reproductive and contraceptive knowledge and attitudes and adult contraceptive behavior. </w:t>
      </w:r>
      <w:r w:rsidRPr="006D5D9E">
        <w:rPr>
          <w:rFonts w:ascii="Times New Roman" w:hAnsi="Times New Roman"/>
          <w:i/>
          <w:iCs/>
          <w:sz w:val="24"/>
          <w:szCs w:val="24"/>
          <w:shd w:val="clear" w:color="auto" w:fill="FFFFFF"/>
        </w:rPr>
        <w:t>Maternal and child health journal</w:t>
      </w:r>
      <w:r w:rsidRPr="006D5D9E">
        <w:rPr>
          <w:rFonts w:ascii="Times New Roman" w:hAnsi="Times New Roman"/>
          <w:sz w:val="24"/>
          <w:szCs w:val="24"/>
          <w:shd w:val="clear" w:color="auto" w:fill="FFFFFF"/>
        </w:rPr>
        <w:t>, </w:t>
      </w:r>
      <w:r w:rsidRPr="006D5D9E">
        <w:rPr>
          <w:rFonts w:ascii="Times New Roman" w:hAnsi="Times New Roman"/>
          <w:i/>
          <w:iCs/>
          <w:sz w:val="24"/>
          <w:szCs w:val="24"/>
          <w:shd w:val="clear" w:color="auto" w:fill="FFFFFF"/>
        </w:rPr>
        <w:t>22</w:t>
      </w:r>
      <w:r w:rsidRPr="006D5D9E">
        <w:rPr>
          <w:rFonts w:ascii="Times New Roman" w:hAnsi="Times New Roman"/>
          <w:sz w:val="24"/>
          <w:szCs w:val="24"/>
          <w:shd w:val="clear" w:color="auto" w:fill="FFFFFF"/>
        </w:rPr>
        <w:t>(1), 32-40.</w:t>
      </w:r>
    </w:p>
    <w:p w:rsidR="00716C85" w:rsidRDefault="00C768B0" w:rsidP="00716C85">
      <w:pPr>
        <w:spacing w:after="0" w:line="480" w:lineRule="auto"/>
        <w:ind w:left="720" w:hanging="720"/>
        <w:contextualSpacing/>
        <w:jc w:val="both"/>
        <w:rPr>
          <w:rFonts w:ascii="Times New Roman" w:hAnsi="Times New Roman"/>
          <w:sz w:val="24"/>
          <w:szCs w:val="24"/>
          <w:shd w:val="clear" w:color="auto" w:fill="FFFFFF"/>
        </w:rPr>
      </w:pPr>
      <w:r w:rsidRPr="00C768B0">
        <w:rPr>
          <w:rFonts w:ascii="Times New Roman" w:hAnsi="Times New Roman"/>
          <w:sz w:val="24"/>
          <w:szCs w:val="24"/>
          <w:shd w:val="clear" w:color="auto" w:fill="FFFFFF"/>
        </w:rPr>
        <w:t>Kelly, A. M., Lindo, J. M., &amp; Packham, A. (2019). </w:t>
      </w:r>
      <w:r w:rsidRPr="00C768B0">
        <w:rPr>
          <w:rFonts w:ascii="Times New Roman" w:hAnsi="Times New Roman"/>
          <w:i/>
          <w:iCs/>
          <w:sz w:val="24"/>
          <w:szCs w:val="24"/>
          <w:shd w:val="clear" w:color="auto" w:fill="FFFFFF"/>
        </w:rPr>
        <w:t>The power of the IUD: effects of expanding access to contraception through Title X clinics</w:t>
      </w:r>
      <w:r w:rsidRPr="00C768B0">
        <w:rPr>
          <w:rFonts w:ascii="Times New Roman" w:hAnsi="Times New Roman"/>
          <w:sz w:val="24"/>
          <w:szCs w:val="24"/>
          <w:shd w:val="clear" w:color="auto" w:fill="FFFFFF"/>
        </w:rPr>
        <w:t> (No. w25656). National Bureau of Economic Research.</w:t>
      </w:r>
    </w:p>
    <w:p w:rsidR="00E83A77" w:rsidRPr="00716C85" w:rsidRDefault="00716C85" w:rsidP="00716C85">
      <w:pPr>
        <w:spacing w:after="0" w:line="480" w:lineRule="auto"/>
        <w:ind w:left="720" w:hanging="720"/>
        <w:contextualSpacing/>
        <w:jc w:val="both"/>
        <w:rPr>
          <w:rFonts w:ascii="Times New Roman" w:hAnsi="Times New Roman"/>
          <w:sz w:val="24"/>
          <w:szCs w:val="24"/>
          <w:shd w:val="clear" w:color="auto" w:fill="FFFFFF"/>
        </w:rPr>
      </w:pPr>
      <w:r w:rsidRPr="00716C85">
        <w:rPr>
          <w:rFonts w:ascii="Times New Roman" w:hAnsi="Times New Roman"/>
          <w:sz w:val="24"/>
          <w:szCs w:val="24"/>
        </w:rPr>
        <w:t>Woo, T. M., &amp; Robinson, M. V. (2015). Pharmacotherapeutics for advanced practice nurseprescribers. FA Davis.</w:t>
      </w:r>
    </w:p>
    <w:sectPr w:rsidR="00E83A77" w:rsidRPr="00716C85" w:rsidSect="00D2412F">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10E3" w:rsidRDefault="009710E3" w:rsidP="00E83A77">
      <w:pPr>
        <w:spacing w:after="0" w:line="240" w:lineRule="auto"/>
      </w:pPr>
      <w:r>
        <w:separator/>
      </w:r>
    </w:p>
  </w:endnote>
  <w:endnote w:type="continuationSeparator" w:id="1">
    <w:p w:rsidR="009710E3" w:rsidRDefault="009710E3" w:rsidP="00E83A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10E3" w:rsidRDefault="009710E3" w:rsidP="00E83A77">
      <w:pPr>
        <w:spacing w:after="0" w:line="240" w:lineRule="auto"/>
      </w:pPr>
      <w:r>
        <w:separator/>
      </w:r>
    </w:p>
  </w:footnote>
  <w:footnote w:type="continuationSeparator" w:id="1">
    <w:p w:rsidR="009710E3" w:rsidRDefault="009710E3" w:rsidP="00E83A77">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E83A77"/>
    <w:rsid w:val="000504E4"/>
    <w:rsid w:val="000D3E0E"/>
    <w:rsid w:val="001032F5"/>
    <w:rsid w:val="00177E9D"/>
    <w:rsid w:val="001A4BD7"/>
    <w:rsid w:val="001C1CD5"/>
    <w:rsid w:val="001D0577"/>
    <w:rsid w:val="001E44C3"/>
    <w:rsid w:val="002C4446"/>
    <w:rsid w:val="00372727"/>
    <w:rsid w:val="003C474E"/>
    <w:rsid w:val="003F6CF6"/>
    <w:rsid w:val="004146A1"/>
    <w:rsid w:val="00494232"/>
    <w:rsid w:val="004A3F12"/>
    <w:rsid w:val="004B005C"/>
    <w:rsid w:val="00513BFA"/>
    <w:rsid w:val="00531050"/>
    <w:rsid w:val="005516AB"/>
    <w:rsid w:val="005766EF"/>
    <w:rsid w:val="00614389"/>
    <w:rsid w:val="00660AE2"/>
    <w:rsid w:val="00690C35"/>
    <w:rsid w:val="006D5D9E"/>
    <w:rsid w:val="0070349B"/>
    <w:rsid w:val="00716C85"/>
    <w:rsid w:val="00744733"/>
    <w:rsid w:val="00770AED"/>
    <w:rsid w:val="007A313E"/>
    <w:rsid w:val="007F31B5"/>
    <w:rsid w:val="00842303"/>
    <w:rsid w:val="008D5976"/>
    <w:rsid w:val="009710E3"/>
    <w:rsid w:val="009B7F53"/>
    <w:rsid w:val="009D1E0B"/>
    <w:rsid w:val="00A1364C"/>
    <w:rsid w:val="00A63100"/>
    <w:rsid w:val="00A96A86"/>
    <w:rsid w:val="00AA7143"/>
    <w:rsid w:val="00AE7177"/>
    <w:rsid w:val="00B834DF"/>
    <w:rsid w:val="00B86383"/>
    <w:rsid w:val="00BC031A"/>
    <w:rsid w:val="00C331FE"/>
    <w:rsid w:val="00C768B0"/>
    <w:rsid w:val="00C934D7"/>
    <w:rsid w:val="00D2412F"/>
    <w:rsid w:val="00D30224"/>
    <w:rsid w:val="00E46CC0"/>
    <w:rsid w:val="00E83A77"/>
    <w:rsid w:val="00E9627F"/>
    <w:rsid w:val="00F252D2"/>
    <w:rsid w:val="00F36FEA"/>
    <w:rsid w:val="00F81A1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3A77"/>
    <w:pPr>
      <w:suppressAutoHyphens/>
      <w:spacing w:after="200" w:line="276" w:lineRule="auto"/>
    </w:pPr>
    <w:rPr>
      <w:rFonts w:ascii="Calibri" w:eastAsia="Calibri" w:hAnsi="Calibri"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3A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3A77"/>
    <w:rPr>
      <w:rFonts w:ascii="Calibri" w:eastAsia="Calibri" w:hAnsi="Calibri" w:cs="Times New Roman"/>
      <w:lang w:eastAsia="zh-CN"/>
    </w:rPr>
  </w:style>
  <w:style w:type="paragraph" w:styleId="Footer">
    <w:name w:val="footer"/>
    <w:basedOn w:val="Normal"/>
    <w:link w:val="FooterChar"/>
    <w:uiPriority w:val="99"/>
    <w:unhideWhenUsed/>
    <w:rsid w:val="00E83A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3A77"/>
    <w:rPr>
      <w:rFonts w:ascii="Calibri" w:eastAsia="Calibri" w:hAnsi="Calibri" w:cs="Times New Roman"/>
      <w:lang w:eastAsia="zh-CN"/>
    </w:rPr>
  </w:style>
  <w:style w:type="paragraph" w:styleId="NormalWeb">
    <w:name w:val="Normal (Web)"/>
    <w:basedOn w:val="Normal"/>
    <w:uiPriority w:val="99"/>
    <w:unhideWhenUsed/>
    <w:rsid w:val="001D0577"/>
    <w:pPr>
      <w:suppressAutoHyphens w:val="0"/>
      <w:spacing w:before="100" w:beforeAutospacing="1" w:after="100" w:afterAutospacing="1" w:line="240" w:lineRule="auto"/>
    </w:pPr>
    <w:rPr>
      <w:rFonts w:ascii="Times New Roman" w:eastAsia="Times New Roman" w:hAnsi="Times New Roman"/>
      <w:sz w:val="24"/>
      <w:szCs w:val="24"/>
      <w:lang w:eastAsia="en-US"/>
    </w:rPr>
  </w:style>
  <w:style w:type="character" w:styleId="Strong">
    <w:name w:val="Strong"/>
    <w:basedOn w:val="DefaultParagraphFont"/>
    <w:uiPriority w:val="22"/>
    <w:qFormat/>
    <w:rsid w:val="001D0577"/>
    <w:rPr>
      <w:b/>
      <w:bCs/>
    </w:rPr>
  </w:style>
</w:styles>
</file>

<file path=word/webSettings.xml><?xml version="1.0" encoding="utf-8"?>
<w:webSettings xmlns:r="http://schemas.openxmlformats.org/officeDocument/2006/relationships" xmlns:w="http://schemas.openxmlformats.org/wordprocessingml/2006/main">
  <w:divs>
    <w:div w:id="1519661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656</Words>
  <Characters>3745</Characters>
  <Application>Microsoft Office Word</Application>
  <DocSecurity>0</DocSecurity>
  <Lines>31</Lines>
  <Paragraphs>8</Paragraphs>
  <ScaleCrop>false</ScaleCrop>
  <Company/>
  <LinksUpToDate>false</LinksUpToDate>
  <CharactersWithSpaces>4393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MAB</dc:creator>
  <cp:lastModifiedBy>ADM</cp:lastModifiedBy>
  <cp:revision>2</cp:revision>
  <dcterms:created xsi:type="dcterms:W3CDTF">2020-08-25T19:56:00Z</dcterms:created>
  <dcterms:modified xsi:type="dcterms:W3CDTF">2020-08-25T19:56:00Z</dcterms:modified>
</cp:coreProperties>
</file>